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Tài chính</w:t>
      </w:r>
      <w:r w:rsidRPr="00FA254E">
        <w:rPr>
          <w:b/>
          <w:bCs/>
          <w:noProof/>
          <w:sz w:val="24"/>
          <w:szCs w:val="24"/>
        </w:rPr>
        <w:t xml:space="preserve"> cá nhân</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Personal finance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FIB383</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người học kiến thức cơ bản về quản lý tài chính cá nhân và gia đình. Học phần hướng tới cung cấp các khái niệm tài chính gắn liền với các vấn đề/ quyết định tài chính mà cá nhân và hộ gia đình thường xuyên đối mặt trên thực tế như: quản lý nguồn ngân quỹ/thu nhập; thuế; tiết kiệm; mua nhà và các tài sản giá trị, vay mượn, bảo hiểm, đầu tư, hoạch định kế hoạch hưu trí. Thông qua môn học, sinh viên sẽ nắm bắt được các nguyên lý cũng như kỹ thuật/ phương pháp để quản lý nguồn thu-chi hay tài sản và nghĩa vụ tài chính của cá nhân/hộ gia đình. Thêm nữa, môn học này cũng đề cập đến các trung gian tài chính trong mối quan hệ của các định chế tài chính với cá nhân/ hộ gia đình, cũng như nghiên cứu về các công cụ tài chính được các cá nhân và hộ gia đình sử dụng phổ biến.</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cung cấp cho sinh viên các nguyên lý về hoạch định tài chính cá nhân; giúp sinh viên làm quen với các công cụ tài chính và phương pháp quản lý tài chính cho cá nhân và hộ gia đình, hiểu được vai trò của các trung gian tài chính trong mối quan hệ với hộ gia đình; trau dồi các kỹ năng chuyên môn như kỹ năng phân tích và giải quyết vấn đề;các kỹ năng giao tiếp và làm việc nhóm.</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Lập kế</w:t>
      </w:r>
      <w:r w:rsidRPr="00FA254E">
        <w:rPr>
          <w:noProof/>
          <w:sz w:val="24"/>
          <w:szCs w:val="24"/>
        </w:rPr>
        <w:t xml:space="preserve"> hoạch tài chính cho khách hàng cá nhân một cách chuyên nghiệp phù hợp với yêu cầu của khách hàng nhằm gia tăng giá trị của tài sản khách hàng.</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và sử dụng các phương tiện thanh toán, sản phẩm ngân hàng một cách thông minh và có trách nhiệm.</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Hoạch định</w:t>
      </w:r>
      <w:r w:rsidRPr="00FA254E">
        <w:rPr>
          <w:noProof/>
          <w:sz w:val="24"/>
          <w:szCs w:val="24"/>
        </w:rPr>
        <w:t xml:space="preserve"> được ngân sách thông qua lựa chọn các loại hình tiết kiệm thay thế và lập kế hoạch thuế liên quan đến từng đối tượng khách hàng.</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Đưa ra</w:t>
      </w:r>
      <w:r w:rsidRPr="00FA254E">
        <w:rPr>
          <w:noProof/>
          <w:sz w:val="24"/>
          <w:szCs w:val="24"/>
        </w:rPr>
        <w:t xml:space="preserve"> các quyết định về tín dụng, mua hay thuê một tài sản cá nhân (nhà cửa, xe cộ, và các tiện nghi khác trong cuộc sống...)</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Tư vấn</w:t>
      </w:r>
      <w:r w:rsidRPr="00FA254E">
        <w:rPr>
          <w:noProof/>
          <w:sz w:val="24"/>
          <w:szCs w:val="24"/>
        </w:rPr>
        <w:t xml:space="preserve"> khách hàng trong việc sử dụng bảo hiểm đúng cách để bảo vệ mình chống lại các rủi ro đáng kể nhằm bảo đảm khách hàng luôn đạt được sự an toàn tối đa về tài chính.</w:t>
      </w:r>
    </w:p>
    <w:p w:rsidR="002009F7" w:rsidRPr="00FA254E" w:rsidP="00841984" w14:textId="21599774">
      <w:pPr>
        <w:spacing w:before="120"/>
        <w:rPr>
          <w:color w:val="000000"/>
          <w:sz w:val="24"/>
          <w:szCs w:val="24"/>
        </w:rPr>
      </w:pPr>
      <w:r w:rsidRPr="00FA254E" w:rsidR="00841984">
        <w:rPr>
          <w:noProof/>
          <w:sz w:val="24"/>
          <w:szCs w:val="24"/>
        </w:rPr>
        <w:t>f</w:t>
      </w:r>
      <w:r w:rsidRPr="00FA254E" w:rsidR="00841984">
        <w:rPr>
          <w:rFonts w:eastAsia="Calibri"/>
          <w:sz w:val="24"/>
          <w:szCs w:val="24"/>
          <w:lang w:val="sv-SE"/>
        </w:rPr>
        <w:t xml:space="preserve">. </w:t>
      </w:r>
      <w:r w:rsidRPr="00FA254E" w:rsidR="00841984">
        <w:rPr>
          <w:noProof/>
          <w:sz w:val="24"/>
          <w:szCs w:val="24"/>
        </w:rPr>
        <w:t>Lựa chọn</w:t>
      </w:r>
      <w:r w:rsidRPr="00FA254E">
        <w:rPr>
          <w:noProof/>
          <w:sz w:val="24"/>
          <w:szCs w:val="24"/>
        </w:rPr>
        <w:t xml:space="preserve"> các sản phẩm đầu tư thích hợp như tiền gửi ngân hàng, trái phiếu, cổ phiếu và bất động sản cho khách hàng</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f</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1.3</w:t>
            </w:r>
          </w:p>
          <w:p w:rsidR="002655A9" w:rsidRPr="00FA254E" w:rsidP="00084EF9">
            <w:pPr>
              <w:spacing w:before="40" w:after="40"/>
              <w:rPr>
                <w:color w:val="000000"/>
                <w:sz w:val="24"/>
                <w:szCs w:val="24"/>
              </w:rPr>
            </w:pPr>
            <w:r w:rsidRPr="00FA254E">
              <w:rPr>
                <w:noProof/>
                <w:sz w:val="24"/>
                <w:szCs w:val="24"/>
              </w:rPr>
              <w:t>1.4</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tài chính cá nhân </w:t>
            </w:r>
          </w:p>
          <w:p w:rsidRPr="00FA254E" w:rsidP="004D1122">
            <w:pPr>
              <w:spacing w:before="40" w:after="40"/>
              <w:rPr>
                <w:sz w:val="24"/>
                <w:szCs w:val="24"/>
              </w:rPr>
            </w:pPr>
            <w:r w:rsidRPr="00FA254E">
              <w:rPr>
                <w:noProof/>
                <w:sz w:val="24"/>
                <w:szCs w:val="24"/>
              </w:rPr>
              <w:t>Tổng quan tài chính cá nhân:</w:t>
            </w:r>
          </w:p>
          <w:p w:rsidRPr="00FA254E" w:rsidP="004D1122">
            <w:pPr>
              <w:spacing w:before="40" w:after="40"/>
              <w:rPr>
                <w:sz w:val="24"/>
                <w:szCs w:val="24"/>
              </w:rPr>
            </w:pPr>
            <w:r w:rsidRPr="00FA254E">
              <w:rPr>
                <w:noProof/>
                <w:sz w:val="24"/>
                <w:szCs w:val="24"/>
              </w:rPr>
              <w:t>Các nhân tố ảnh hưởng đến hoạch định tài chính cá nhân</w:t>
            </w:r>
          </w:p>
          <w:p w:rsidRPr="00FA254E" w:rsidP="004D1122">
            <w:pPr>
              <w:spacing w:before="40" w:after="40"/>
              <w:rPr>
                <w:sz w:val="24"/>
                <w:szCs w:val="24"/>
              </w:rPr>
            </w:pPr>
            <w:r w:rsidRPr="00FA254E">
              <w:rPr>
                <w:noProof/>
                <w:sz w:val="24"/>
                <w:szCs w:val="24"/>
              </w:rPr>
              <w:t>Quá trình hoạch định tài chính</w:t>
            </w:r>
          </w:p>
          <w:p w:rsidR="002655A9" w:rsidRPr="00FA254E" w:rsidP="004D1122">
            <w:pPr>
              <w:spacing w:before="40" w:after="40"/>
              <w:rPr>
                <w:color w:val="000000"/>
                <w:sz w:val="24"/>
                <w:szCs w:val="24"/>
              </w:rPr>
            </w:pPr>
            <w:r w:rsidRPr="00FA254E">
              <w:rPr>
                <w:noProof/>
                <w:sz w:val="24"/>
                <w:szCs w:val="24"/>
              </w:rPr>
              <w:t>Các nghề nghiệp liên quan đến hoạch định tài chính</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Pr="00FA254E" w:rsidP="00084EF9">
            <w:pPr>
              <w:spacing w:before="40" w:after="40"/>
              <w:rPr>
                <w:sz w:val="24"/>
                <w:szCs w:val="24"/>
              </w:rPr>
            </w:pPr>
            <w:r w:rsidRPr="00FA254E">
              <w:rPr>
                <w:noProof/>
                <w:sz w:val="24"/>
                <w:szCs w:val="24"/>
              </w:rPr>
              <w:t>2.4</w:t>
            </w:r>
          </w:p>
          <w:p w:rsidR="002655A9" w:rsidRPr="00FA254E" w:rsidP="00084EF9">
            <w:pPr>
              <w:spacing w:before="40" w:after="40"/>
              <w:rPr>
                <w:color w:val="000000"/>
                <w:sz w:val="24"/>
                <w:szCs w:val="24"/>
              </w:rPr>
            </w:pPr>
            <w:r w:rsidRPr="00FA254E">
              <w:rPr>
                <w:noProof/>
                <w:sz w:val="24"/>
                <w:szCs w:val="24"/>
              </w:rPr>
              <w:t>2.5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Hoạch định</w:t>
            </w:r>
            <w:r w:rsidRPr="00FA254E">
              <w:rPr>
                <w:noProof/>
                <w:sz w:val="24"/>
                <w:szCs w:val="24"/>
              </w:rPr>
              <w:t xml:space="preserve"> tài chính cá nhân</w:t>
            </w:r>
          </w:p>
          <w:p w:rsidRPr="00FA254E" w:rsidP="004D1122">
            <w:pPr>
              <w:spacing w:before="40" w:after="40"/>
              <w:rPr>
                <w:sz w:val="24"/>
                <w:szCs w:val="24"/>
              </w:rPr>
            </w:pPr>
            <w:r w:rsidRPr="00FA254E">
              <w:rPr>
                <w:noProof/>
                <w:sz w:val="24"/>
                <w:szCs w:val="24"/>
              </w:rPr>
              <w:t>Thu nhập- Chi phí; Tài sản- Nợ &amp; Vốn và Rủi ro</w:t>
            </w:r>
          </w:p>
          <w:p w:rsidRPr="00FA254E" w:rsidP="004D1122">
            <w:pPr>
              <w:spacing w:before="40" w:after="40"/>
              <w:rPr>
                <w:sz w:val="24"/>
                <w:szCs w:val="24"/>
              </w:rPr>
            </w:pPr>
            <w:r w:rsidRPr="00FA254E">
              <w:rPr>
                <w:noProof/>
                <w:sz w:val="24"/>
                <w:szCs w:val="24"/>
              </w:rPr>
              <w:t>Báo cáo tài chính cá nhân</w:t>
            </w:r>
          </w:p>
          <w:p w:rsidRPr="00FA254E" w:rsidP="004D1122">
            <w:pPr>
              <w:spacing w:before="40" w:after="40"/>
              <w:rPr>
                <w:sz w:val="24"/>
                <w:szCs w:val="24"/>
              </w:rPr>
            </w:pPr>
            <w:r w:rsidRPr="00FA254E">
              <w:rPr>
                <w:noProof/>
                <w:sz w:val="24"/>
                <w:szCs w:val="24"/>
              </w:rPr>
              <w:t>Các yếu tố ảnh hưởng đến quyết định tài chính cá nhân</w:t>
            </w:r>
          </w:p>
          <w:p w:rsidRPr="00FA254E" w:rsidP="004D1122">
            <w:pPr>
              <w:spacing w:before="40" w:after="40"/>
              <w:rPr>
                <w:sz w:val="24"/>
                <w:szCs w:val="24"/>
              </w:rPr>
            </w:pPr>
            <w:r w:rsidRPr="00FA254E">
              <w:rPr>
                <w:noProof/>
                <w:sz w:val="24"/>
                <w:szCs w:val="24"/>
              </w:rPr>
              <w:t>Lập kế hoạch tài chính cá nhân</w:t>
            </w:r>
          </w:p>
          <w:p w:rsidR="002655A9" w:rsidRPr="00FA254E" w:rsidP="004D1122">
            <w:pPr>
              <w:spacing w:before="40" w:after="40"/>
              <w:rPr>
                <w:color w:val="000000"/>
                <w:sz w:val="24"/>
                <w:szCs w:val="24"/>
              </w:rPr>
            </w:pPr>
            <w:r w:rsidRPr="00FA254E">
              <w:rPr>
                <w:noProof/>
                <w:sz w:val="24"/>
                <w:szCs w:val="24"/>
              </w:rPr>
              <w:t>Thuế và hoạch định thuế</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9</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002655A9" w:rsidRPr="00FA254E" w:rsidP="00084EF9">
            <w:pPr>
              <w:spacing w:before="40" w:after="40"/>
              <w:rPr>
                <w:color w:val="000000"/>
                <w:sz w:val="24"/>
                <w:szCs w:val="24"/>
              </w:rPr>
            </w:pPr>
            <w:r w:rsidRPr="00FA254E">
              <w:rPr>
                <w:noProof/>
                <w:sz w:val="24"/>
                <w:szCs w:val="24"/>
              </w:rPr>
              <w:t>3.3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lý</w:t>
            </w:r>
            <w:r w:rsidRPr="00FA254E">
              <w:rPr>
                <w:noProof/>
                <w:sz w:val="24"/>
                <w:szCs w:val="24"/>
              </w:rPr>
              <w:t xml:space="preserve"> tài chính cá nhân</w:t>
            </w:r>
          </w:p>
          <w:p w:rsidRPr="00FA254E" w:rsidP="004D1122">
            <w:pPr>
              <w:spacing w:before="40" w:after="40"/>
              <w:rPr>
                <w:sz w:val="24"/>
                <w:szCs w:val="24"/>
              </w:rPr>
            </w:pPr>
            <w:r w:rsidRPr="00FA254E">
              <w:rPr>
                <w:noProof/>
                <w:sz w:val="24"/>
                <w:szCs w:val="24"/>
              </w:rPr>
              <w:t>Quản lý tài chính cá nhân</w:t>
            </w:r>
          </w:p>
          <w:p w:rsidRPr="00FA254E" w:rsidP="004D1122">
            <w:pPr>
              <w:spacing w:before="40" w:after="40"/>
              <w:rPr>
                <w:sz w:val="24"/>
                <w:szCs w:val="24"/>
              </w:rPr>
            </w:pPr>
            <w:r w:rsidRPr="00FA254E">
              <w:rPr>
                <w:noProof/>
                <w:sz w:val="24"/>
                <w:szCs w:val="24"/>
              </w:rPr>
              <w:t>Chiến lược tiêu dùng</w:t>
            </w:r>
          </w:p>
          <w:p w:rsidR="002655A9" w:rsidRPr="00FA254E" w:rsidP="004D1122">
            <w:pPr>
              <w:spacing w:before="40" w:after="40"/>
              <w:rPr>
                <w:color w:val="000000"/>
                <w:sz w:val="24"/>
                <w:szCs w:val="24"/>
              </w:rPr>
            </w:pPr>
            <w:r w:rsidRPr="00FA254E">
              <w:rPr>
                <w:noProof/>
                <w:sz w:val="24"/>
                <w:szCs w:val="24"/>
              </w:rPr>
              <w:t>Quyết định mua nhà</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002655A9" w:rsidRPr="00FA254E" w:rsidP="00084EF9">
            <w:pPr>
              <w:spacing w:before="40" w:after="40"/>
              <w:rPr>
                <w:color w:val="000000"/>
                <w:sz w:val="24"/>
                <w:szCs w:val="24"/>
              </w:rPr>
            </w:pPr>
            <w:r w:rsidRPr="00FA254E">
              <w:rPr>
                <w:noProof/>
                <w:sz w:val="24"/>
                <w:szCs w:val="24"/>
              </w:rPr>
              <w:t>4.2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lý</w:t>
            </w:r>
            <w:r w:rsidRPr="00FA254E">
              <w:rPr>
                <w:noProof/>
                <w:sz w:val="24"/>
                <w:szCs w:val="24"/>
              </w:rPr>
              <w:t xml:space="preserve"> rủi ro cá nhân</w:t>
            </w:r>
          </w:p>
          <w:p w:rsidRPr="00FA254E" w:rsidP="004D1122">
            <w:pPr>
              <w:spacing w:before="40" w:after="40"/>
              <w:rPr>
                <w:sz w:val="24"/>
                <w:szCs w:val="24"/>
              </w:rPr>
            </w:pPr>
            <w:r w:rsidRPr="00FA254E">
              <w:rPr>
                <w:noProof/>
                <w:sz w:val="24"/>
                <w:szCs w:val="24"/>
              </w:rPr>
              <w:t>Bảo hiểm</w:t>
            </w:r>
          </w:p>
          <w:p w:rsidR="002655A9" w:rsidRPr="00FA254E" w:rsidP="004D1122">
            <w:pPr>
              <w:spacing w:before="40" w:after="40"/>
              <w:rPr>
                <w:color w:val="000000"/>
                <w:sz w:val="24"/>
                <w:szCs w:val="24"/>
              </w:rPr>
            </w:pPr>
            <w:r w:rsidRPr="00FA254E">
              <w:rPr>
                <w:noProof/>
                <w:sz w:val="24"/>
                <w:szCs w:val="24"/>
              </w:rPr>
              <w:t>Hưu trí và hoạch định di sản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Pr="00FA254E" w:rsidP="00084EF9">
            <w:pPr>
              <w:spacing w:before="40" w:after="40"/>
              <w:rPr>
                <w:sz w:val="24"/>
                <w:szCs w:val="24"/>
              </w:rPr>
            </w:pPr>
            <w:r w:rsidRPr="00FA254E">
              <w:rPr>
                <w:noProof/>
                <w:sz w:val="24"/>
                <w:szCs w:val="24"/>
              </w:rPr>
              <w:t>5.3</w:t>
            </w:r>
          </w:p>
          <w:p w:rsidRPr="00FA254E" w:rsidP="00084EF9">
            <w:pPr>
              <w:spacing w:before="40" w:after="40"/>
              <w:rPr>
                <w:sz w:val="24"/>
                <w:szCs w:val="24"/>
              </w:rPr>
            </w:pPr>
            <w:r w:rsidRPr="00FA254E">
              <w:rPr>
                <w:noProof/>
                <w:sz w:val="24"/>
                <w:szCs w:val="24"/>
              </w:rPr>
              <w:t>5.4</w:t>
            </w:r>
          </w:p>
          <w:p w:rsidR="002655A9" w:rsidRPr="00FA254E" w:rsidP="00084EF9">
            <w:pPr>
              <w:spacing w:before="40" w:after="40"/>
              <w:rPr>
                <w:color w:val="000000"/>
                <w:sz w:val="24"/>
                <w:szCs w:val="24"/>
              </w:rPr>
            </w:pPr>
            <w:r w:rsidRPr="00FA254E">
              <w:rPr>
                <w:noProof/>
                <w:sz w:val="24"/>
                <w:szCs w:val="24"/>
              </w:rPr>
              <w:t>5.5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Tạo lập</w:t>
            </w:r>
            <w:r w:rsidRPr="00FA254E">
              <w:rPr>
                <w:noProof/>
                <w:sz w:val="24"/>
                <w:szCs w:val="24"/>
              </w:rPr>
              <w:t xml:space="preserve"> của cải</w:t>
            </w:r>
          </w:p>
          <w:p w:rsidRPr="00FA254E" w:rsidP="004D1122">
            <w:pPr>
              <w:spacing w:before="40" w:after="40"/>
              <w:rPr>
                <w:sz w:val="24"/>
                <w:szCs w:val="24"/>
              </w:rPr>
            </w:pPr>
            <w:r w:rsidRPr="00FA254E">
              <w:rPr>
                <w:noProof/>
                <w:sz w:val="24"/>
                <w:szCs w:val="24"/>
              </w:rPr>
              <w:t>Đầu tư</w:t>
            </w:r>
          </w:p>
          <w:p w:rsidRPr="00FA254E" w:rsidP="004D1122">
            <w:pPr>
              <w:spacing w:before="40" w:after="40"/>
              <w:rPr>
                <w:sz w:val="24"/>
                <w:szCs w:val="24"/>
              </w:rPr>
            </w:pPr>
            <w:r w:rsidRPr="00FA254E">
              <w:rPr>
                <w:noProof/>
                <w:sz w:val="24"/>
                <w:szCs w:val="24"/>
              </w:rPr>
              <w:t>Tài chính hành vi và hành vi thị trường</w:t>
            </w:r>
          </w:p>
          <w:p w:rsidRPr="00FA254E" w:rsidP="004D1122">
            <w:pPr>
              <w:spacing w:before="40" w:after="40"/>
              <w:rPr>
                <w:sz w:val="24"/>
                <w:szCs w:val="24"/>
              </w:rPr>
            </w:pPr>
            <w:r w:rsidRPr="00FA254E">
              <w:rPr>
                <w:noProof/>
                <w:sz w:val="24"/>
                <w:szCs w:val="24"/>
              </w:rPr>
              <w:t>Thực tế và tiến trình đầu tư</w:t>
            </w:r>
          </w:p>
          <w:p w:rsidRPr="00FA254E" w:rsidP="004D1122">
            <w:pPr>
              <w:spacing w:before="40" w:after="40"/>
              <w:rPr>
                <w:sz w:val="24"/>
                <w:szCs w:val="24"/>
              </w:rPr>
            </w:pPr>
            <w:r w:rsidRPr="00FA254E">
              <w:rPr>
                <w:noProof/>
                <w:sz w:val="24"/>
                <w:szCs w:val="24"/>
              </w:rPr>
              <w:t>Sở hữu cổ phiếu và trái phiếu</w:t>
            </w:r>
          </w:p>
          <w:p w:rsidR="002655A9" w:rsidRPr="00FA254E" w:rsidP="004D1122">
            <w:pPr>
              <w:spacing w:before="40" w:after="40"/>
              <w:rPr>
                <w:color w:val="000000"/>
                <w:sz w:val="24"/>
                <w:szCs w:val="24"/>
              </w:rPr>
            </w:pPr>
            <w:r w:rsidRPr="00FA254E">
              <w:rPr>
                <w:noProof/>
                <w:sz w:val="24"/>
                <w:szCs w:val="24"/>
              </w:rPr>
              <w:t>Đầu tư vào quỹ tương hỗ, bất động sản, hàng hoá(commodities), và đồ sưu tập (collectibles)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f</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 f</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 f</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Bài tập</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 f</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 f</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 f</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Rachel Siegel</w:t>
            </w:r>
            <w:r w:rsidRPr="00FA254E">
              <w:rPr>
                <w:noProof/>
                <w:sz w:val="24"/>
                <w:szCs w:val="24"/>
              </w:rPr>
              <w:t xml:space="preserve"> and Carol Yacht</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Personal Finance</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The Saylor</w:t>
            </w:r>
            <w:r w:rsidRPr="00FA254E">
              <w:rPr>
                <w:noProof/>
                <w:sz w:val="24"/>
                <w:szCs w:val="24"/>
              </w:rPr>
              <w:t xml:space="preserve"> Foundation</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Lawrence J</w:t>
            </w:r>
            <w:r w:rsidRPr="00FA254E">
              <w:rPr>
                <w:noProof/>
                <w:sz w:val="24"/>
                <w:szCs w:val="24"/>
              </w:rPr>
              <w:t>. Gitman &amp; Michael D. Joehnk</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Personal Financial</w:t>
            </w:r>
            <w:r w:rsidRPr="00FA254E">
              <w:rPr>
                <w:noProof/>
                <w:sz w:val="24"/>
                <w:szCs w:val="24"/>
              </w:rPr>
              <w:t xml:space="preserve"> Planning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Cengage</w:t>
              <w:br/>
              <w:t>Learning</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 xml:space="preserve">E. </w:t>
            </w:r>
            <w:r w:rsidRPr="00FA254E">
              <w:rPr>
                <w:noProof/>
                <w:sz w:val="24"/>
                <w:szCs w:val="24"/>
              </w:rPr>
              <w:t>Thomas Garman, Raymond E. Forgue</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Personal finance</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2015</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Cengage</w:t>
              <w:br/>
              <w:t>Learning</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Phan Thị</w:t>
      </w:r>
      <w:r>
        <w:rPr>
          <w:b/>
          <w:bCs/>
          <w:noProof/>
          <w:sz w:val="24"/>
          <w:szCs w:val="24"/>
        </w:rPr>
        <w:t xml:space="preserve"> Khánh Trang</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